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1DB" w:rsidRPr="009711DB" w:rsidRDefault="009711DB" w:rsidP="009711DB">
      <w:pPr>
        <w:shd w:val="clear" w:color="auto" w:fill="FFFFFF"/>
        <w:rPr>
          <w:rFonts w:ascii="Arial" w:eastAsia="Times New Roman" w:hAnsi="Arial" w:cs="Arial"/>
          <w:b/>
          <w:bCs/>
          <w:color w:val="606060"/>
          <w:sz w:val="27"/>
          <w:szCs w:val="27"/>
        </w:rPr>
      </w:pPr>
      <w:r>
        <w:rPr>
          <w:rFonts w:ascii="Arial" w:eastAsia="Times New Roman" w:hAnsi="Arial" w:cs="Arial"/>
          <w:b/>
          <w:bCs/>
          <w:color w:val="606060"/>
          <w:sz w:val="27"/>
          <w:szCs w:val="27"/>
        </w:rPr>
        <w:t xml:space="preserve">Effective </w:t>
      </w:r>
      <w:r w:rsidRPr="009711DB">
        <w:rPr>
          <w:rFonts w:ascii="Arial" w:eastAsia="Times New Roman" w:hAnsi="Arial" w:cs="Arial"/>
          <w:b/>
          <w:bCs/>
          <w:color w:val="606060"/>
          <w:sz w:val="27"/>
          <w:szCs w:val="27"/>
        </w:rPr>
        <w:t>Leadership</w:t>
      </w:r>
      <w:r>
        <w:rPr>
          <w:rFonts w:ascii="Arial" w:eastAsia="Times New Roman" w:hAnsi="Arial" w:cs="Arial"/>
          <w:b/>
          <w:bCs/>
          <w:color w:val="606060"/>
          <w:sz w:val="27"/>
          <w:szCs w:val="27"/>
        </w:rPr>
        <w:t xml:space="preserve"> Course Outline</w:t>
      </w:r>
    </w:p>
    <w:p w:rsidR="009711DB" w:rsidRDefault="009711DB" w:rsidP="009711DB">
      <w:pPr>
        <w:shd w:val="clear" w:color="auto" w:fill="FFFFFF"/>
        <w:spacing w:after="0" w:line="240" w:lineRule="auto"/>
        <w:rPr>
          <w:rFonts w:ascii="Arial" w:eastAsia="Times New Roman" w:hAnsi="Arial" w:cs="Arial"/>
          <w:color w:val="606060"/>
          <w:sz w:val="18"/>
          <w:szCs w:val="18"/>
        </w:rPr>
      </w:pPr>
      <w:r w:rsidRPr="009711DB">
        <w:rPr>
          <w:rFonts w:ascii="Arial" w:eastAsia="Times New Roman" w:hAnsi="Arial" w:cs="Arial"/>
          <w:color w:val="606060"/>
          <w:sz w:val="18"/>
          <w:szCs w:val="18"/>
        </w:rPr>
        <w:t>All employees can be put into one of three levels of engagement: engaged, not engaged, and actively disengaged. This course offers relevant tools for maintaining active engagement and inspiring non-engaged employees to engage. It is designed for managers, facilitators, team leaders, and team members who want to more effectively engage others in order to enhance performance on individual, team, and organizational levels.</w:t>
      </w:r>
    </w:p>
    <w:p w:rsidR="009711DB" w:rsidRPr="009711DB" w:rsidRDefault="009711DB" w:rsidP="009711DB">
      <w:pPr>
        <w:shd w:val="clear" w:color="auto" w:fill="FFFFFF"/>
        <w:spacing w:after="0" w:line="240" w:lineRule="auto"/>
        <w:rPr>
          <w:rFonts w:ascii="Arial" w:eastAsia="Times New Roman" w:hAnsi="Arial" w:cs="Arial"/>
          <w:color w:val="606060"/>
          <w:sz w:val="18"/>
          <w:szCs w:val="18"/>
        </w:rPr>
      </w:pPr>
      <w:bookmarkStart w:id="0" w:name="_GoBack"/>
      <w:bookmarkEnd w:id="0"/>
    </w:p>
    <w:p w:rsidR="009711DB" w:rsidRPr="009711DB" w:rsidRDefault="009711DB" w:rsidP="009711DB">
      <w:pPr>
        <w:shd w:val="clear" w:color="auto" w:fill="FFFFFF"/>
        <w:spacing w:after="0" w:line="240" w:lineRule="auto"/>
        <w:rPr>
          <w:rFonts w:ascii="Arial" w:eastAsia="Times New Roman" w:hAnsi="Arial" w:cs="Arial"/>
          <w:b/>
          <w:bCs/>
          <w:color w:val="823040"/>
          <w:sz w:val="21"/>
          <w:szCs w:val="21"/>
        </w:rPr>
      </w:pPr>
      <w:r w:rsidRPr="009711DB">
        <w:rPr>
          <w:rFonts w:ascii="Arial" w:eastAsia="Times New Roman" w:hAnsi="Arial" w:cs="Arial"/>
          <w:b/>
          <w:bCs/>
          <w:color w:val="823040"/>
          <w:sz w:val="21"/>
          <w:szCs w:val="21"/>
        </w:rPr>
        <w:t>Learning Objectives</w:t>
      </w:r>
    </w:p>
    <w:p w:rsidR="009711DB" w:rsidRPr="009711DB" w:rsidRDefault="009711DB" w:rsidP="009711DB">
      <w:pPr>
        <w:numPr>
          <w:ilvl w:val="0"/>
          <w:numId w:val="1"/>
        </w:numPr>
        <w:shd w:val="clear" w:color="auto" w:fill="FFFFFF"/>
        <w:spacing w:before="100" w:beforeAutospacing="1" w:after="100" w:afterAutospacing="1" w:line="240" w:lineRule="auto"/>
        <w:ind w:left="30" w:right="30"/>
        <w:rPr>
          <w:rFonts w:ascii="Arial" w:eastAsia="Times New Roman" w:hAnsi="Arial" w:cs="Arial"/>
          <w:color w:val="606060"/>
          <w:sz w:val="18"/>
          <w:szCs w:val="18"/>
        </w:rPr>
      </w:pPr>
      <w:r w:rsidRPr="009711DB">
        <w:rPr>
          <w:rFonts w:ascii="Arial" w:eastAsia="Times New Roman" w:hAnsi="Arial" w:cs="Arial"/>
          <w:color w:val="606060"/>
          <w:sz w:val="18"/>
          <w:szCs w:val="18"/>
        </w:rPr>
        <w:t>Connect common understandings of engagement on an organizational level to what an individual leader can do to increase engagement and affect performance</w:t>
      </w:r>
    </w:p>
    <w:p w:rsidR="009711DB" w:rsidRPr="009711DB" w:rsidRDefault="009711DB" w:rsidP="009711DB">
      <w:pPr>
        <w:numPr>
          <w:ilvl w:val="0"/>
          <w:numId w:val="1"/>
        </w:numPr>
        <w:shd w:val="clear" w:color="auto" w:fill="FFFFFF"/>
        <w:spacing w:before="100" w:beforeAutospacing="1" w:after="100" w:afterAutospacing="1" w:line="240" w:lineRule="auto"/>
        <w:ind w:left="30" w:right="30"/>
        <w:rPr>
          <w:rFonts w:ascii="Arial" w:eastAsia="Times New Roman" w:hAnsi="Arial" w:cs="Arial"/>
          <w:color w:val="606060"/>
          <w:sz w:val="18"/>
          <w:szCs w:val="18"/>
        </w:rPr>
      </w:pPr>
      <w:r w:rsidRPr="009711DB">
        <w:rPr>
          <w:rFonts w:ascii="Arial" w:eastAsia="Times New Roman" w:hAnsi="Arial" w:cs="Arial"/>
          <w:color w:val="606060"/>
          <w:sz w:val="18"/>
          <w:szCs w:val="18"/>
        </w:rPr>
        <w:t>Utilize a framework for understanding engagement and engaging leadership</w:t>
      </w:r>
    </w:p>
    <w:p w:rsidR="009711DB" w:rsidRPr="009711DB" w:rsidRDefault="009711DB" w:rsidP="009711DB">
      <w:pPr>
        <w:numPr>
          <w:ilvl w:val="0"/>
          <w:numId w:val="1"/>
        </w:numPr>
        <w:shd w:val="clear" w:color="auto" w:fill="FFFFFF"/>
        <w:spacing w:before="100" w:beforeAutospacing="1" w:after="100" w:afterAutospacing="1" w:line="240" w:lineRule="auto"/>
        <w:ind w:left="30" w:right="30"/>
        <w:rPr>
          <w:rFonts w:ascii="Arial" w:eastAsia="Times New Roman" w:hAnsi="Arial" w:cs="Arial"/>
          <w:color w:val="606060"/>
          <w:sz w:val="18"/>
          <w:szCs w:val="18"/>
        </w:rPr>
      </w:pPr>
      <w:r w:rsidRPr="009711DB">
        <w:rPr>
          <w:rFonts w:ascii="Arial" w:eastAsia="Times New Roman" w:hAnsi="Arial" w:cs="Arial"/>
          <w:color w:val="606060"/>
          <w:sz w:val="18"/>
          <w:szCs w:val="18"/>
        </w:rPr>
        <w:t>Build trust in a more holistic way</w:t>
      </w:r>
    </w:p>
    <w:p w:rsidR="009711DB" w:rsidRPr="009711DB" w:rsidRDefault="009711DB" w:rsidP="009711DB">
      <w:pPr>
        <w:numPr>
          <w:ilvl w:val="0"/>
          <w:numId w:val="1"/>
        </w:numPr>
        <w:shd w:val="clear" w:color="auto" w:fill="FFFFFF"/>
        <w:spacing w:before="100" w:beforeAutospacing="1" w:after="100" w:afterAutospacing="1" w:line="240" w:lineRule="auto"/>
        <w:ind w:left="30" w:right="30"/>
        <w:rPr>
          <w:rFonts w:ascii="Arial" w:eastAsia="Times New Roman" w:hAnsi="Arial" w:cs="Arial"/>
          <w:color w:val="606060"/>
          <w:sz w:val="18"/>
          <w:szCs w:val="18"/>
        </w:rPr>
      </w:pPr>
      <w:r w:rsidRPr="009711DB">
        <w:rPr>
          <w:rFonts w:ascii="Arial" w:eastAsia="Times New Roman" w:hAnsi="Arial" w:cs="Arial"/>
          <w:color w:val="606060"/>
          <w:sz w:val="18"/>
          <w:szCs w:val="18"/>
        </w:rPr>
        <w:t>Hold conversations with others about what uniquely motivates them to perform</w:t>
      </w:r>
    </w:p>
    <w:p w:rsidR="009711DB" w:rsidRPr="009711DB" w:rsidRDefault="009711DB" w:rsidP="009711DB">
      <w:pPr>
        <w:numPr>
          <w:ilvl w:val="0"/>
          <w:numId w:val="1"/>
        </w:numPr>
        <w:shd w:val="clear" w:color="auto" w:fill="FFFFFF"/>
        <w:spacing w:before="100" w:beforeAutospacing="1" w:after="100" w:afterAutospacing="1" w:line="240" w:lineRule="auto"/>
        <w:ind w:left="30" w:right="30"/>
        <w:rPr>
          <w:rFonts w:ascii="Arial" w:eastAsia="Times New Roman" w:hAnsi="Arial" w:cs="Arial"/>
          <w:color w:val="606060"/>
          <w:sz w:val="18"/>
          <w:szCs w:val="18"/>
        </w:rPr>
      </w:pPr>
      <w:r w:rsidRPr="009711DB">
        <w:rPr>
          <w:rFonts w:ascii="Arial" w:eastAsia="Times New Roman" w:hAnsi="Arial" w:cs="Arial"/>
          <w:color w:val="606060"/>
          <w:sz w:val="18"/>
          <w:szCs w:val="18"/>
        </w:rPr>
        <w:t>Recognize the value of a people-centric approach in order to increase engagement and improve performance in the workplace</w:t>
      </w:r>
    </w:p>
    <w:p w:rsidR="009711DB" w:rsidRPr="009711DB" w:rsidRDefault="009711DB" w:rsidP="009711DB">
      <w:pPr>
        <w:numPr>
          <w:ilvl w:val="0"/>
          <w:numId w:val="1"/>
        </w:numPr>
        <w:shd w:val="clear" w:color="auto" w:fill="FFFFFF"/>
        <w:spacing w:before="100" w:beforeAutospacing="1" w:after="100" w:afterAutospacing="1" w:line="240" w:lineRule="auto"/>
        <w:ind w:left="30" w:right="30"/>
        <w:rPr>
          <w:rFonts w:ascii="Arial" w:eastAsia="Times New Roman" w:hAnsi="Arial" w:cs="Arial"/>
          <w:color w:val="606060"/>
          <w:sz w:val="18"/>
          <w:szCs w:val="18"/>
        </w:rPr>
      </w:pPr>
      <w:r w:rsidRPr="009711DB">
        <w:rPr>
          <w:rFonts w:ascii="Arial" w:eastAsia="Times New Roman" w:hAnsi="Arial" w:cs="Arial"/>
          <w:color w:val="606060"/>
          <w:sz w:val="18"/>
          <w:szCs w:val="18"/>
        </w:rPr>
        <w:t>Discuss how emotions influence engagement and individuals’ interests in participating in organizational change</w:t>
      </w:r>
    </w:p>
    <w:p w:rsidR="009711DB" w:rsidRPr="009711DB" w:rsidRDefault="009711DB" w:rsidP="009711DB">
      <w:pPr>
        <w:numPr>
          <w:ilvl w:val="0"/>
          <w:numId w:val="1"/>
        </w:numPr>
        <w:shd w:val="clear" w:color="auto" w:fill="FFFFFF"/>
        <w:spacing w:before="100" w:beforeAutospacing="1" w:after="100" w:afterAutospacing="1" w:line="240" w:lineRule="auto"/>
        <w:ind w:left="30" w:right="30"/>
        <w:rPr>
          <w:rFonts w:ascii="Arial" w:eastAsia="Times New Roman" w:hAnsi="Arial" w:cs="Arial"/>
          <w:color w:val="606060"/>
          <w:sz w:val="18"/>
          <w:szCs w:val="18"/>
        </w:rPr>
      </w:pPr>
      <w:r w:rsidRPr="009711DB">
        <w:rPr>
          <w:rFonts w:ascii="Arial" w:eastAsia="Times New Roman" w:hAnsi="Arial" w:cs="Arial"/>
          <w:color w:val="606060"/>
          <w:sz w:val="18"/>
          <w:szCs w:val="18"/>
        </w:rPr>
        <w:t>Describe “best practices” for creating an engaging culture of leadership</w:t>
      </w:r>
    </w:p>
    <w:p w:rsidR="009711DB" w:rsidRPr="009711DB" w:rsidRDefault="009711DB" w:rsidP="009711DB">
      <w:pPr>
        <w:shd w:val="clear" w:color="auto" w:fill="FFFFFF"/>
        <w:spacing w:after="0" w:line="240" w:lineRule="auto"/>
        <w:rPr>
          <w:rFonts w:ascii="Arial" w:eastAsia="Times New Roman" w:hAnsi="Arial" w:cs="Arial"/>
          <w:b/>
          <w:bCs/>
          <w:color w:val="823040"/>
          <w:sz w:val="21"/>
          <w:szCs w:val="21"/>
        </w:rPr>
      </w:pPr>
      <w:r w:rsidRPr="009711DB">
        <w:rPr>
          <w:rFonts w:ascii="Arial" w:eastAsia="Times New Roman" w:hAnsi="Arial" w:cs="Arial"/>
          <w:b/>
          <w:bCs/>
          <w:color w:val="823040"/>
          <w:sz w:val="21"/>
          <w:szCs w:val="21"/>
        </w:rPr>
        <w:t>Topics</w:t>
      </w:r>
    </w:p>
    <w:p w:rsidR="009711DB" w:rsidRPr="009711DB" w:rsidRDefault="009711DB" w:rsidP="009711DB">
      <w:pPr>
        <w:numPr>
          <w:ilvl w:val="0"/>
          <w:numId w:val="2"/>
        </w:numPr>
        <w:shd w:val="clear" w:color="auto" w:fill="FFFFFF"/>
        <w:spacing w:before="100" w:beforeAutospacing="1" w:after="100" w:afterAutospacing="1" w:line="240" w:lineRule="auto"/>
        <w:ind w:left="30" w:right="30"/>
        <w:rPr>
          <w:rFonts w:ascii="Arial" w:eastAsia="Times New Roman" w:hAnsi="Arial" w:cs="Arial"/>
          <w:color w:val="606060"/>
          <w:sz w:val="18"/>
          <w:szCs w:val="18"/>
        </w:rPr>
      </w:pPr>
      <w:r w:rsidRPr="009711DB">
        <w:rPr>
          <w:rFonts w:ascii="Arial" w:eastAsia="Times New Roman" w:hAnsi="Arial" w:cs="Arial"/>
          <w:color w:val="606060"/>
          <w:sz w:val="18"/>
          <w:szCs w:val="18"/>
        </w:rPr>
        <w:t>Engaging leadership as the critical factor in today’s workforce</w:t>
      </w:r>
    </w:p>
    <w:p w:rsidR="009711DB" w:rsidRPr="009711DB" w:rsidRDefault="009711DB" w:rsidP="009711DB">
      <w:pPr>
        <w:numPr>
          <w:ilvl w:val="0"/>
          <w:numId w:val="2"/>
        </w:numPr>
        <w:shd w:val="clear" w:color="auto" w:fill="FFFFFF"/>
        <w:spacing w:before="100" w:beforeAutospacing="1" w:after="100" w:afterAutospacing="1" w:line="240" w:lineRule="auto"/>
        <w:ind w:left="30" w:right="30"/>
        <w:rPr>
          <w:rFonts w:ascii="Arial" w:eastAsia="Times New Roman" w:hAnsi="Arial" w:cs="Arial"/>
          <w:color w:val="606060"/>
          <w:sz w:val="18"/>
          <w:szCs w:val="18"/>
        </w:rPr>
      </w:pPr>
      <w:r w:rsidRPr="009711DB">
        <w:rPr>
          <w:rFonts w:ascii="Arial" w:eastAsia="Times New Roman" w:hAnsi="Arial" w:cs="Arial"/>
          <w:color w:val="606060"/>
          <w:sz w:val="18"/>
          <w:szCs w:val="18"/>
        </w:rPr>
        <w:t>Understanding employee engagement as a driver of workplace satisfaction and performance</w:t>
      </w:r>
    </w:p>
    <w:p w:rsidR="009711DB" w:rsidRPr="009711DB" w:rsidRDefault="009711DB" w:rsidP="009711DB">
      <w:pPr>
        <w:numPr>
          <w:ilvl w:val="0"/>
          <w:numId w:val="2"/>
        </w:numPr>
        <w:shd w:val="clear" w:color="auto" w:fill="FFFFFF"/>
        <w:spacing w:before="100" w:beforeAutospacing="1" w:after="100" w:afterAutospacing="1" w:line="240" w:lineRule="auto"/>
        <w:ind w:left="30" w:right="30"/>
        <w:rPr>
          <w:rFonts w:ascii="Arial" w:eastAsia="Times New Roman" w:hAnsi="Arial" w:cs="Arial"/>
          <w:color w:val="606060"/>
          <w:sz w:val="18"/>
          <w:szCs w:val="18"/>
        </w:rPr>
      </w:pPr>
      <w:r w:rsidRPr="009711DB">
        <w:rPr>
          <w:rFonts w:ascii="Arial" w:eastAsia="Times New Roman" w:hAnsi="Arial" w:cs="Arial"/>
          <w:color w:val="606060"/>
          <w:sz w:val="18"/>
          <w:szCs w:val="18"/>
        </w:rPr>
        <w:t>Trust as the foundation of engaging others</w:t>
      </w:r>
    </w:p>
    <w:p w:rsidR="009711DB" w:rsidRPr="009711DB" w:rsidRDefault="009711DB" w:rsidP="009711DB">
      <w:pPr>
        <w:numPr>
          <w:ilvl w:val="0"/>
          <w:numId w:val="2"/>
        </w:numPr>
        <w:shd w:val="clear" w:color="auto" w:fill="FFFFFF"/>
        <w:spacing w:before="100" w:beforeAutospacing="1" w:after="100" w:afterAutospacing="1" w:line="240" w:lineRule="auto"/>
        <w:ind w:left="30" w:right="30"/>
        <w:rPr>
          <w:rFonts w:ascii="Arial" w:eastAsia="Times New Roman" w:hAnsi="Arial" w:cs="Arial"/>
          <w:color w:val="606060"/>
          <w:sz w:val="18"/>
          <w:szCs w:val="18"/>
        </w:rPr>
      </w:pPr>
      <w:r w:rsidRPr="009711DB">
        <w:rPr>
          <w:rFonts w:ascii="Arial" w:eastAsia="Times New Roman" w:hAnsi="Arial" w:cs="Arial"/>
          <w:color w:val="606060"/>
          <w:sz w:val="18"/>
          <w:szCs w:val="18"/>
        </w:rPr>
        <w:t>Building trust across generations</w:t>
      </w:r>
    </w:p>
    <w:p w:rsidR="009711DB" w:rsidRPr="009711DB" w:rsidRDefault="009711DB" w:rsidP="009711DB">
      <w:pPr>
        <w:numPr>
          <w:ilvl w:val="0"/>
          <w:numId w:val="2"/>
        </w:numPr>
        <w:shd w:val="clear" w:color="auto" w:fill="FFFFFF"/>
        <w:spacing w:before="100" w:beforeAutospacing="1" w:after="100" w:afterAutospacing="1" w:line="240" w:lineRule="auto"/>
        <w:ind w:left="30" w:right="30"/>
        <w:rPr>
          <w:rFonts w:ascii="Arial" w:eastAsia="Times New Roman" w:hAnsi="Arial" w:cs="Arial"/>
          <w:color w:val="606060"/>
          <w:sz w:val="18"/>
          <w:szCs w:val="18"/>
        </w:rPr>
      </w:pPr>
      <w:r w:rsidRPr="009711DB">
        <w:rPr>
          <w:rFonts w:ascii="Arial" w:eastAsia="Times New Roman" w:hAnsi="Arial" w:cs="Arial"/>
          <w:color w:val="606060"/>
          <w:sz w:val="18"/>
          <w:szCs w:val="18"/>
        </w:rPr>
        <w:t>Understanding others’ unique motivators</w:t>
      </w:r>
    </w:p>
    <w:p w:rsidR="009711DB" w:rsidRPr="009711DB" w:rsidRDefault="009711DB" w:rsidP="009711DB">
      <w:pPr>
        <w:numPr>
          <w:ilvl w:val="0"/>
          <w:numId w:val="2"/>
        </w:numPr>
        <w:shd w:val="clear" w:color="auto" w:fill="FFFFFF"/>
        <w:spacing w:before="100" w:beforeAutospacing="1" w:after="100" w:afterAutospacing="1" w:line="240" w:lineRule="auto"/>
        <w:ind w:left="30" w:right="30"/>
        <w:rPr>
          <w:rFonts w:ascii="Arial" w:eastAsia="Times New Roman" w:hAnsi="Arial" w:cs="Arial"/>
          <w:color w:val="606060"/>
          <w:sz w:val="18"/>
          <w:szCs w:val="18"/>
        </w:rPr>
      </w:pPr>
      <w:r w:rsidRPr="009711DB">
        <w:rPr>
          <w:rFonts w:ascii="Arial" w:eastAsia="Times New Roman" w:hAnsi="Arial" w:cs="Arial"/>
          <w:color w:val="606060"/>
          <w:sz w:val="18"/>
          <w:szCs w:val="18"/>
        </w:rPr>
        <w:t>Shifting from “command and control” to more “people-centric” practices</w:t>
      </w:r>
    </w:p>
    <w:p w:rsidR="009711DB" w:rsidRPr="009711DB" w:rsidRDefault="009711DB" w:rsidP="009711DB">
      <w:pPr>
        <w:numPr>
          <w:ilvl w:val="0"/>
          <w:numId w:val="2"/>
        </w:numPr>
        <w:shd w:val="clear" w:color="auto" w:fill="FFFFFF"/>
        <w:spacing w:before="100" w:beforeAutospacing="1" w:after="100" w:afterAutospacing="1" w:line="240" w:lineRule="auto"/>
        <w:ind w:left="30" w:right="30"/>
        <w:rPr>
          <w:rFonts w:ascii="Arial" w:eastAsia="Times New Roman" w:hAnsi="Arial" w:cs="Arial"/>
          <w:color w:val="606060"/>
          <w:sz w:val="18"/>
          <w:szCs w:val="18"/>
        </w:rPr>
      </w:pPr>
      <w:r w:rsidRPr="009711DB">
        <w:rPr>
          <w:rFonts w:ascii="Arial" w:eastAsia="Times New Roman" w:hAnsi="Arial" w:cs="Arial"/>
          <w:color w:val="606060"/>
          <w:sz w:val="18"/>
          <w:szCs w:val="18"/>
        </w:rPr>
        <w:t>The role of emotions in the workplace</w:t>
      </w:r>
    </w:p>
    <w:p w:rsidR="009711DB" w:rsidRPr="009711DB" w:rsidRDefault="009711DB" w:rsidP="009711DB">
      <w:pPr>
        <w:numPr>
          <w:ilvl w:val="0"/>
          <w:numId w:val="2"/>
        </w:numPr>
        <w:shd w:val="clear" w:color="auto" w:fill="FFFFFF"/>
        <w:spacing w:before="100" w:beforeAutospacing="1" w:after="100" w:afterAutospacing="1" w:line="240" w:lineRule="auto"/>
        <w:ind w:left="30" w:right="30"/>
        <w:rPr>
          <w:rFonts w:ascii="Arial" w:eastAsia="Times New Roman" w:hAnsi="Arial" w:cs="Arial"/>
          <w:color w:val="606060"/>
          <w:sz w:val="18"/>
          <w:szCs w:val="18"/>
        </w:rPr>
      </w:pPr>
      <w:r w:rsidRPr="009711DB">
        <w:rPr>
          <w:rFonts w:ascii="Arial" w:eastAsia="Times New Roman" w:hAnsi="Arial" w:cs="Arial"/>
          <w:color w:val="606060"/>
          <w:sz w:val="18"/>
          <w:szCs w:val="18"/>
        </w:rPr>
        <w:t>Fostering change through emotional engagement</w:t>
      </w:r>
    </w:p>
    <w:p w:rsidR="009711DB" w:rsidRPr="009711DB" w:rsidRDefault="009711DB" w:rsidP="009711DB">
      <w:pPr>
        <w:numPr>
          <w:ilvl w:val="0"/>
          <w:numId w:val="2"/>
        </w:numPr>
        <w:shd w:val="clear" w:color="auto" w:fill="FFFFFF"/>
        <w:spacing w:before="100" w:beforeAutospacing="1" w:after="100" w:afterAutospacing="1" w:line="240" w:lineRule="auto"/>
        <w:ind w:left="30" w:right="30"/>
        <w:rPr>
          <w:rFonts w:ascii="Arial" w:eastAsia="Times New Roman" w:hAnsi="Arial" w:cs="Arial"/>
          <w:color w:val="606060"/>
          <w:sz w:val="18"/>
          <w:szCs w:val="18"/>
        </w:rPr>
      </w:pPr>
      <w:r w:rsidRPr="009711DB">
        <w:rPr>
          <w:rFonts w:ascii="Arial" w:eastAsia="Times New Roman" w:hAnsi="Arial" w:cs="Arial"/>
          <w:color w:val="606060"/>
          <w:sz w:val="18"/>
          <w:szCs w:val="18"/>
        </w:rPr>
        <w:t>Fostering a culture of engagement, performance, and accountability</w:t>
      </w:r>
    </w:p>
    <w:p w:rsidR="00465684" w:rsidRDefault="009711DB" w:rsidP="00E67B02">
      <w:pPr>
        <w:jc w:val="center"/>
      </w:pPr>
    </w:p>
    <w:sectPr w:rsidR="004656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073E3C"/>
    <w:multiLevelType w:val="multilevel"/>
    <w:tmpl w:val="8EDC2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0A107A9"/>
    <w:multiLevelType w:val="multilevel"/>
    <w:tmpl w:val="2F787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1"/>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B02"/>
    <w:rsid w:val="000D3B1D"/>
    <w:rsid w:val="000E493A"/>
    <w:rsid w:val="001C2854"/>
    <w:rsid w:val="001F4F9A"/>
    <w:rsid w:val="00400565"/>
    <w:rsid w:val="00425E02"/>
    <w:rsid w:val="00473E5F"/>
    <w:rsid w:val="00763FF6"/>
    <w:rsid w:val="008A1B45"/>
    <w:rsid w:val="00905E7E"/>
    <w:rsid w:val="009711DB"/>
    <w:rsid w:val="009E10E2"/>
    <w:rsid w:val="00C82918"/>
    <w:rsid w:val="00E67B02"/>
    <w:rsid w:val="00F54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7B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7B02"/>
    <w:rPr>
      <w:rFonts w:ascii="Tahoma" w:hAnsi="Tahoma" w:cs="Tahoma"/>
      <w:sz w:val="16"/>
      <w:szCs w:val="16"/>
    </w:rPr>
  </w:style>
  <w:style w:type="paragraph" w:styleId="NormalWeb">
    <w:name w:val="Normal (Web)"/>
    <w:basedOn w:val="Normal"/>
    <w:uiPriority w:val="99"/>
    <w:semiHidden/>
    <w:unhideWhenUsed/>
    <w:rsid w:val="009711D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7B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7B02"/>
    <w:rPr>
      <w:rFonts w:ascii="Tahoma" w:hAnsi="Tahoma" w:cs="Tahoma"/>
      <w:sz w:val="16"/>
      <w:szCs w:val="16"/>
    </w:rPr>
  </w:style>
  <w:style w:type="paragraph" w:styleId="NormalWeb">
    <w:name w:val="Normal (Web)"/>
    <w:basedOn w:val="Normal"/>
    <w:uiPriority w:val="99"/>
    <w:semiHidden/>
    <w:unhideWhenUsed/>
    <w:rsid w:val="009711D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8092973">
      <w:bodyDiv w:val="1"/>
      <w:marLeft w:val="0"/>
      <w:marRight w:val="0"/>
      <w:marTop w:val="0"/>
      <w:marBottom w:val="0"/>
      <w:divBdr>
        <w:top w:val="none" w:sz="0" w:space="0" w:color="auto"/>
        <w:left w:val="none" w:sz="0" w:space="0" w:color="auto"/>
        <w:bottom w:val="none" w:sz="0" w:space="0" w:color="auto"/>
        <w:right w:val="none" w:sz="0" w:space="0" w:color="auto"/>
      </w:divBdr>
      <w:divsChild>
        <w:div w:id="305626875">
          <w:marLeft w:val="0"/>
          <w:marRight w:val="0"/>
          <w:marTop w:val="0"/>
          <w:marBottom w:val="180"/>
          <w:divBdr>
            <w:top w:val="none" w:sz="0" w:space="0" w:color="auto"/>
            <w:left w:val="none" w:sz="0" w:space="0" w:color="auto"/>
            <w:bottom w:val="none" w:sz="0" w:space="0" w:color="auto"/>
            <w:right w:val="none" w:sz="0" w:space="0" w:color="auto"/>
          </w:divBdr>
          <w:divsChild>
            <w:div w:id="1617981982">
              <w:marLeft w:val="0"/>
              <w:marRight w:val="0"/>
              <w:marTop w:val="0"/>
              <w:marBottom w:val="0"/>
              <w:divBdr>
                <w:top w:val="none" w:sz="0" w:space="0" w:color="auto"/>
                <w:left w:val="none" w:sz="0" w:space="0" w:color="auto"/>
                <w:bottom w:val="none" w:sz="0" w:space="0" w:color="auto"/>
                <w:right w:val="none" w:sz="0" w:space="0" w:color="auto"/>
              </w:divBdr>
            </w:div>
          </w:divsChild>
        </w:div>
        <w:div w:id="64030822">
          <w:marLeft w:val="0"/>
          <w:marRight w:val="0"/>
          <w:marTop w:val="0"/>
          <w:marBottom w:val="0"/>
          <w:divBdr>
            <w:top w:val="single" w:sz="6" w:space="4" w:color="E5E5E5"/>
            <w:left w:val="single" w:sz="6" w:space="4" w:color="E5E5E5"/>
            <w:bottom w:val="single" w:sz="6" w:space="4" w:color="E5E5E5"/>
            <w:right w:val="single" w:sz="6" w:space="4" w:color="E5E5E5"/>
          </w:divBdr>
        </w:div>
        <w:div w:id="1344626150">
          <w:marLeft w:val="0"/>
          <w:marRight w:val="0"/>
          <w:marTop w:val="270"/>
          <w:marBottom w:val="270"/>
          <w:divBdr>
            <w:top w:val="none" w:sz="0" w:space="0" w:color="auto"/>
            <w:left w:val="none" w:sz="0" w:space="0" w:color="auto"/>
            <w:bottom w:val="none" w:sz="0" w:space="0" w:color="auto"/>
            <w:right w:val="none" w:sz="0" w:space="0" w:color="auto"/>
          </w:divBdr>
        </w:div>
        <w:div w:id="1844317300">
          <w:marLeft w:val="0"/>
          <w:marRight w:val="0"/>
          <w:marTop w:val="0"/>
          <w:marBottom w:val="0"/>
          <w:divBdr>
            <w:top w:val="single" w:sz="6" w:space="4" w:color="E5E5E5"/>
            <w:left w:val="single" w:sz="6" w:space="4" w:color="E5E5E5"/>
            <w:bottom w:val="single" w:sz="6" w:space="4" w:color="E5E5E5"/>
            <w:right w:val="single" w:sz="6" w:space="4" w:color="E5E5E5"/>
          </w:divBdr>
        </w:div>
        <w:div w:id="427964922">
          <w:marLeft w:val="0"/>
          <w:marRight w:val="0"/>
          <w:marTop w:val="270"/>
          <w:marBottom w:val="27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360</Words>
  <Characters>1264</Characters>
  <Application>Microsoft Office Word</Application>
  <DocSecurity>0</DocSecurity>
  <Lines>421</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Manning, April</dc:creator>
  <cp:lastModifiedBy>Manning, April</cp:lastModifiedBy>
  <cp:revision>2</cp:revision>
  <dcterms:created xsi:type="dcterms:W3CDTF">2013-07-11T04:22:00Z</dcterms:created>
  <dcterms:modified xsi:type="dcterms:W3CDTF">2013-07-11T04:22:00Z</dcterms:modified>
</cp:coreProperties>
</file>